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left"/>
        <w:tblInd w:w="-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1385"/>
        <w:gridCol w:w="1980"/>
        <w:tblGridChange w:id="0">
          <w:tblGrid>
            <w:gridCol w:w="1260"/>
            <w:gridCol w:w="11385"/>
            <w:gridCol w:w="1980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Ensemble Term 1. Lesson 2 — Exploring Pitch (Cause - Effect, Choice)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Objectives covered across Term 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 can make sounds using my movements or actions (CMPSR/Swipe).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 can take turns, listen, and play with others (ensemble routines).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 can communicate choices (gesture, AAC, choice cards) and take a role in a pair.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Lesson Objective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(differentiated)               LA: I can make a sound on purpose and stop when shown STOP.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               MA: I can choose a favourite direction sound and take turns with a partner.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               HA: I can take turns and identify/copy “same or different” when a sound is mirrored.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Lesson Plan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 minutes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STARTER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0–5 min — Hello + visual routine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says/does: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Point to routine strip: “Hello, Warm up, Explore, Play together, Share, Reflect, Tidy.”</w:t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rtl w:val="0"/>
              </w:rPr>
              <w:t xml:space="preserve">• “Recap: In the last lesson we found our favourite sounds and played our favourite notes using colours and directions”</w:t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  <w:t xml:space="preserve">Staff action: seat pairs; confirm Player/Navigator role cards.</w:t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“Today: we</w:t>
            </w:r>
            <w:r w:rsidDel="00000000" w:rsidR="00000000" w:rsidRPr="00000000">
              <w:rPr>
                <w:rtl w:val="0"/>
              </w:rPr>
              <w:t xml:space="preserve">’ll listen again to our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favourite </w:t>
            </w:r>
            <w:r w:rsidDel="00000000" w:rsidR="00000000" w:rsidRPr="00000000">
              <w:rPr>
                <w:rtl w:val="0"/>
              </w:rPr>
              <w:t xml:space="preserve">instrument and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play together over an ambient soundscape.”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Staff action: seat pairs; confirm Player/Navigator role cards.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5–10 min — Device success check (micro-warm-up)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Activity: “1-second sound”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“Player: make one quick sound. Navigator: show STOP.”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Repeat once; swap within pair if needed.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Goal: immediate success and safe stopping (sensory regulation).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MAIN ACTIVITY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10-25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min — Main 1: “Colour Chain” (whole-class turn-taking)</w:t>
            </w:r>
          </w:p>
          <w:p w:rsidR="00000000" w:rsidDel="00000000" w:rsidP="00000000" w:rsidRDefault="00000000" w:rsidRPr="00000000" w14:paraId="0000004F">
            <w:pPr>
              <w:rPr/>
            </w:pPr>
            <w:hyperlink r:id="rId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LOAD AMBIENT SOUNDSCAPE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each pair plays their chosen directions for 3–5 seconds.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“When I point to you: PLAY. When I show STOP: stop together.”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Model: teacher + one pair first.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Structure: feature pairs if transitions are slow; others are active audience.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  <w:t xml:space="preserve">25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–40 min — Main 2: “</w:t>
            </w:r>
            <w:r w:rsidDel="00000000" w:rsidR="00000000" w:rsidRPr="00000000">
              <w:rPr>
                <w:rtl w:val="0"/>
              </w:rPr>
              <w:t xml:space="preserve">Explore Pitch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 (</w:t>
            </w:r>
            <w:r w:rsidDel="00000000" w:rsidR="00000000" w:rsidRPr="00000000">
              <w:rPr>
                <w:rtl w:val="0"/>
              </w:rPr>
              <w:t xml:space="preserve">introduction to octaves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Play the same note in the middle octave then move down an octave. “</w:t>
            </w:r>
            <w:r w:rsidDel="00000000" w:rsidR="00000000" w:rsidRPr="00000000">
              <w:rPr>
                <w:rtl w:val="0"/>
              </w:rPr>
              <w:t xml:space="preserve">What is different about these sounds?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</w:t>
            </w:r>
            <w:r w:rsidDel="00000000" w:rsidR="00000000" w:rsidRPr="00000000">
              <w:rPr>
                <w:rtl w:val="0"/>
              </w:rPr>
              <w:t xml:space="preserve">Play the same note in the middle octave then move up an octave. “What is different about these sounds?”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  <w:t xml:space="preserve">• “Which octave does your instrument sound best in?” Invite each learner to choose an octave.</w:t>
            </w:r>
          </w:p>
          <w:p w:rsidR="00000000" w:rsidDel="00000000" w:rsidP="00000000" w:rsidRDefault="00000000" w:rsidRPr="00000000" w14:paraId="0000005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Extension: </w:t>
            </w:r>
            <w:r w:rsidDel="00000000" w:rsidR="00000000" w:rsidRPr="00000000">
              <w:rPr>
                <w:rtl w:val="0"/>
              </w:rPr>
              <w:t xml:space="preserve">Re-run the colour chain over the ambient soundscape with the student’s chosen octave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PLENARY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40–45 min — Share + Reflect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“Favourite sound vote”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“Show me your favourite: point, gesture, AAC, or choose a card.”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Evidence prompt: quick tick for “initiated / responded / stayed engaged”.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  <w:t xml:space="preserve">Ensemble 1.2 Resource</w:t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Visual routine strip</w:t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Player/Navigator role cards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STOP card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ear defenders/headphones</w:t>
            </w:r>
          </w:p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rtl w:val="0"/>
              </w:rPr>
              <w:t xml:space="preserve">Arrownotes U-Compose resource</w:t>
            </w:r>
          </w:p>
          <w:p w:rsidR="00000000" w:rsidDel="00000000" w:rsidP="00000000" w:rsidRDefault="00000000" w:rsidRPr="00000000" w14:paraId="0000006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Assessment: tick sheet + brief note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10–15s audio clip / photo evidence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rPr/>
            </w:pPr>
            <w:r w:rsidDel="00000000" w:rsidR="00000000" w:rsidRPr="00000000">
              <w:rPr>
                <w:u w:val="single"/>
                <w:rtl w:val="0"/>
              </w:rPr>
              <w:t xml:space="preserve">EXTENSION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rPr/>
            </w:pPr>
            <w:sdt>
              <w:sdtPr>
                <w:id w:val="-1487468381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• Introduce a role rotation: Player → Navigator → STOP Captain. Cycle through all student’s favourite sounds and directions.</w:t>
                </w:r>
              </w:sdtContent>
            </w:sdt>
          </w:p>
          <w:p w:rsidR="00000000" w:rsidDel="00000000" w:rsidP="00000000" w:rsidRDefault="00000000" w:rsidRPr="00000000" w14:paraId="0000007E">
            <w:pPr>
              <w:rPr/>
            </w:pPr>
            <w:sdt>
              <w:sdtPr>
                <w:id w:val="647407894"/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• Reduce/increase complexity: 2 directions only (L/R) → 4 directions (include U/D) → all 8 directions.</w:t>
                </w:r>
              </w:sdtContent>
            </w:sdt>
          </w:p>
          <w:p w:rsidR="00000000" w:rsidDel="00000000" w:rsidP="00000000" w:rsidRDefault="00000000" w:rsidRPr="00000000" w14:paraId="0000007F">
            <w:pPr>
              <w:rPr>
                <w:u w:val="single"/>
              </w:rPr>
            </w:pPr>
            <w:r w:rsidDel="00000000" w:rsidR="00000000" w:rsidRPr="00000000">
              <w:rPr>
                <w:rtl w:val="0"/>
              </w:rPr>
              <w:t xml:space="preserve">• Add a simple Arrownotes link: one arrow = one chosen direction (no pitch/rhythm demand yet).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</w:t>
            </w:r>
            <w:r w:rsidDel="00000000" w:rsidR="00000000" w:rsidRPr="00000000">
              <w:rPr>
                <w:rtl w:val="0"/>
              </w:rPr>
              <w:t xml:space="preserve">Arrownotes U-Compose resource</w:t>
            </w:r>
          </w:p>
          <w:p w:rsidR="00000000" w:rsidDel="00000000" w:rsidP="00000000" w:rsidRDefault="00000000" w:rsidRPr="00000000" w14:paraId="0000008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3">
      <w:pPr>
        <w:pageBreakBefore w:val="0"/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5">
    <w:pPr>
      <w:spacing w:line="240" w:lineRule="auto"/>
      <w:rPr>
        <w:b w:val="1"/>
        <w:bCs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86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84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8277225</wp:posOffset>
          </wp:positionH>
          <wp:positionV relativeFrom="paragraph">
            <wp:posOffset>-266698</wp:posOffset>
          </wp:positionV>
          <wp:extent cx="538540" cy="671513"/>
          <wp:effectExtent b="0" l="0" r="0" t="0"/>
          <wp:wrapNone/>
          <wp:docPr id="1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8540" cy="6715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table" w:styleId="Table1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FvVfFIenwuk?si=e1lkzbp6MVUB7hoN" TargetMode="External"/><Relationship Id="rId8" Type="http://schemas.openxmlformats.org/officeDocument/2006/relationships/header" Target="head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YcPJuD6hGA3DHNpIeBldL2nDmbQ==">CgMxLjAaHQoBMBIYChYIB0ISEhBBcmlhbCBVbmljb2RlIE1TGh0KATESGAoWCAdCEhIQQXJpYWwgVW5pY29kZSBNUzgAciExUy1HbEZhMDdLZ0NVWEo3WDBGZXc1MW5iS25DSnhQWTY=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